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5638"/>
      </w:tblGrid>
      <w:tr w:rsidR="00645367" w:rsidRPr="00645367" w:rsidTr="00645367">
        <w:trPr>
          <w:trHeight w:val="846"/>
        </w:trPr>
        <w:tc>
          <w:tcPr>
            <w:tcW w:w="3576" w:type="dxa"/>
            <w:tcBorders>
              <w:right w:val="single" w:sz="4" w:space="0" w:color="auto"/>
            </w:tcBorders>
          </w:tcPr>
          <w:p w:rsidR="00645367" w:rsidRPr="00645367" w:rsidRDefault="00645367" w:rsidP="00645367">
            <w:pPr>
              <w:widowControl w:val="0"/>
              <w:spacing w:before="100" w:after="100" w:line="240" w:lineRule="auto"/>
              <w:jc w:val="both"/>
              <w:rPr>
                <w:rFonts w:ascii="Garamond" w:eastAsia="Times New Roman" w:hAnsi="Garamond" w:cs="Times New Roman"/>
                <w:bCs/>
                <w:snapToGrid w:val="0"/>
                <w:sz w:val="24"/>
                <w:szCs w:val="20"/>
              </w:rPr>
            </w:pPr>
            <w:r w:rsidRPr="00645367">
              <w:rPr>
                <w:rFonts w:ascii="Garamond" w:eastAsia="Times New Roman" w:hAnsi="Garamond" w:cs="Times New Roman"/>
                <w:bCs/>
                <w:noProof/>
                <w:sz w:val="24"/>
                <w:szCs w:val="20"/>
              </w:rPr>
              <w:drawing>
                <wp:inline distT="0" distB="0" distL="0" distR="0" wp14:anchorId="202D1A2C" wp14:editId="7D51CFAA">
                  <wp:extent cx="2162175" cy="457200"/>
                  <wp:effectExtent l="19050" t="0" r="9525" b="0"/>
                  <wp:docPr id="1" name="Kép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67" w:rsidRPr="00645367" w:rsidRDefault="00645367" w:rsidP="00645367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645367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>INFORMATIKA-SZÁMÍTÁSTECHNIKA TANÁROK EGYESÜLETE (ISZE)</w:t>
            </w:r>
          </w:p>
          <w:p w:rsidR="00645367" w:rsidRPr="00645367" w:rsidRDefault="00645367" w:rsidP="00645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Székhely: 1133 Budapest, Vág u. 2/C.  Tel/fax: 06-1-462-0415</w:t>
            </w:r>
          </w:p>
          <w:p w:rsidR="00645367" w:rsidRPr="00645367" w:rsidRDefault="00645367" w:rsidP="00645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e-mail: </w:t>
            </w:r>
            <w:hyperlink r:id="rId10" w:history="1">
              <w:r w:rsidRPr="00645367">
                <w:rPr>
                  <w:rFonts w:ascii="Garamond" w:eastAsia="Times New Roman" w:hAnsi="Garamond" w:cs="Times New Roman"/>
                  <w:b/>
                  <w:snapToGrid w:val="0"/>
                  <w:color w:val="0000FF"/>
                  <w:sz w:val="16"/>
                  <w:szCs w:val="16"/>
                  <w:u w:val="single"/>
                </w:rPr>
                <w:t>isze@isze.hu</w:t>
              </w:r>
            </w:hyperlink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honlap: </w:t>
            </w:r>
            <w:hyperlink r:id="rId11" w:history="1">
              <w:r w:rsidRPr="00645367">
                <w:rPr>
                  <w:rFonts w:ascii="Garamond" w:eastAsia="Times New Roman" w:hAnsi="Garamond" w:cs="Times New Roman"/>
                  <w:b/>
                  <w:bCs/>
                  <w:snapToGrid w:val="0"/>
                  <w:color w:val="0000FF"/>
                  <w:sz w:val="16"/>
                  <w:szCs w:val="16"/>
                  <w:u w:val="single"/>
                </w:rPr>
                <w:t>www.isze.hu</w:t>
              </w:r>
            </w:hyperlink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  </w:t>
            </w:r>
          </w:p>
          <w:p w:rsidR="00645367" w:rsidRPr="00645367" w:rsidRDefault="00645367" w:rsidP="00645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FINY nyilvántartás: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01 0769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04 </w:t>
            </w:r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IA</w:t>
            </w:r>
            <w:proofErr w:type="gramEnd"/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szám: AL-1683</w:t>
            </w:r>
          </w:p>
          <w:p w:rsidR="00645367" w:rsidRPr="00645367" w:rsidRDefault="00645367" w:rsidP="00645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64536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Akkreditált Kiváló Tehetségpont: TP 180 000 258</w:t>
            </w:r>
          </w:p>
        </w:tc>
      </w:tr>
    </w:tbl>
    <w:p w:rsidR="00645367" w:rsidRDefault="00645367" w:rsidP="00645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A5" w:rsidRPr="00B7161B" w:rsidRDefault="00B7161B" w:rsidP="00645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1B">
        <w:rPr>
          <w:rFonts w:ascii="Times New Roman" w:hAnsi="Times New Roman" w:cs="Times New Roman"/>
          <w:b/>
          <w:sz w:val="24"/>
          <w:szCs w:val="24"/>
        </w:rPr>
        <w:t>Szakiskolai kerettantervek véleményezése</w:t>
      </w:r>
    </w:p>
    <w:p w:rsidR="00B7161B" w:rsidRDefault="00B7161B" w:rsidP="00B7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61B" w:rsidRDefault="00B7161B" w:rsidP="0064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61B">
        <w:rPr>
          <w:rFonts w:ascii="Times New Roman" w:hAnsi="Times New Roman"/>
          <w:color w:val="000000"/>
          <w:sz w:val="24"/>
          <w:szCs w:val="24"/>
        </w:rPr>
        <w:t>Egyetértünk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r w:rsidRPr="00D45D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Digitális kompetencia</w:t>
      </w:r>
      <w:r>
        <w:rPr>
          <w:rStyle w:val="Lbjegyzet-hivatkozs"/>
          <w:rFonts w:ascii="Times New Roman" w:hAnsi="Times New Roman"/>
          <w:i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megszerzésének fontosságával a Szakiskolában is.</w:t>
      </w:r>
    </w:p>
    <w:p w:rsidR="0082267D" w:rsidRDefault="00A4186A" w:rsidP="0064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Kiemelt szerepet tulajdonítunk a digitális írástudás megszerzésének és az informatika szerepének „a </w:t>
      </w:r>
      <w:r w:rsidRPr="00D45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közismereti és szakmai tananyagok interdiszciplináris </w:t>
      </w:r>
      <w:r>
        <w:rPr>
          <w:rFonts w:ascii="Times New Roman" w:hAnsi="Times New Roman"/>
          <w:color w:val="000000"/>
          <w:sz w:val="24"/>
          <w:szCs w:val="24"/>
        </w:rPr>
        <w:t xml:space="preserve">és problémaközpontú” szemléletének kialakításában, </w:t>
      </w:r>
      <w:r w:rsidRPr="00D45D0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alamint a tartalmak feldolgozásában és elsajátításában.</w:t>
      </w:r>
    </w:p>
    <w:p w:rsidR="00B7161B" w:rsidRPr="00D45D04" w:rsidRDefault="00B7161B" w:rsidP="0064536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2267D" w:rsidRDefault="0082267D" w:rsidP="006453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tematikai egység/fejlesztési célok és órakereteik áttanulmányozásakor felfigyeltünk arra, hogy a szakiskolai terv tematikai egység/fejlesztési célok, valamint óraszámok</w:t>
      </w:r>
      <w:r w:rsidR="0073592A">
        <w:rPr>
          <w:rFonts w:ascii="Times New Roman" w:hAnsi="Times New Roman"/>
          <w:color w:val="000000"/>
          <w:sz w:val="24"/>
          <w:szCs w:val="24"/>
        </w:rPr>
        <w:t xml:space="preserve"> tekintetében, </w:t>
      </w:r>
      <w:r>
        <w:rPr>
          <w:rFonts w:ascii="Times New Roman" w:hAnsi="Times New Roman"/>
          <w:color w:val="000000"/>
          <w:sz w:val="24"/>
          <w:szCs w:val="24"/>
        </w:rPr>
        <w:t>megegyezik a 9-10. évf. szakközépiskolai tervvel. A leírásban is „szakközépiskola” terminus szerepel.</w:t>
      </w:r>
    </w:p>
    <w:p w:rsidR="0082267D" w:rsidRDefault="0082267D" w:rsidP="006453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kerettanterv tematikai egységei: </w:t>
      </w:r>
    </w:p>
    <w:p w:rsidR="0082267D" w:rsidRPr="0082267D" w:rsidRDefault="0082267D" w:rsidP="006453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Az informatikai eszközök használata</w:t>
      </w:r>
    </w:p>
    <w:p w:rsidR="0082267D" w:rsidRPr="0082267D" w:rsidRDefault="0082267D" w:rsidP="006453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 xml:space="preserve">Alkalmazói ismeretek 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 xml:space="preserve">Írott és audiovizuális dokumentumok elektronikus létrehozása 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Adatkezelés, adatfeldolgozás, információmegjelenítés</w:t>
      </w:r>
    </w:p>
    <w:p w:rsidR="0082267D" w:rsidRPr="0082267D" w:rsidRDefault="0082267D" w:rsidP="006453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 xml:space="preserve">Problémamegoldás informatikai eszközökkel és módszerekkel 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 problémamegoldáshoz szükséges módszerek és eszközök kiválasztása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Algoritmizálás és adatmodellezés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Egyszerűbb folyamatok modellezése</w:t>
      </w:r>
    </w:p>
    <w:p w:rsidR="0082267D" w:rsidRPr="0082267D" w:rsidRDefault="0082267D" w:rsidP="006453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267D">
        <w:rPr>
          <w:rFonts w:ascii="Times New Roman" w:hAnsi="Times New Roman" w:cs="Times New Roman"/>
          <w:bCs/>
          <w:sz w:val="24"/>
          <w:szCs w:val="24"/>
        </w:rPr>
        <w:t>Infokommunikáció</w:t>
      </w:r>
      <w:proofErr w:type="spellEnd"/>
      <w:r w:rsidRPr="008226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Információkeresés, információközlési rendszerek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Az információs technológián alapuló kommunikációs formák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Médiainformatika</w:t>
      </w:r>
    </w:p>
    <w:p w:rsidR="0082267D" w:rsidRPr="0082267D" w:rsidRDefault="0082267D" w:rsidP="006453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 xml:space="preserve">Az információs társadalom 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Az információkezelés jogi és etikai vonatkozásai</w:t>
      </w:r>
    </w:p>
    <w:p w:rsidR="0082267D" w:rsidRPr="0082267D" w:rsidRDefault="0082267D" w:rsidP="0064536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Az e-szolgáltatások szerepe és használata</w:t>
      </w:r>
    </w:p>
    <w:p w:rsidR="0082267D" w:rsidRPr="0082267D" w:rsidRDefault="0082267D" w:rsidP="006453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67D">
        <w:rPr>
          <w:rFonts w:ascii="Times New Roman" w:hAnsi="Times New Roman" w:cs="Times New Roman"/>
          <w:bCs/>
          <w:sz w:val="24"/>
          <w:szCs w:val="24"/>
        </w:rPr>
        <w:t>Könyvtári informatika</w:t>
      </w:r>
    </w:p>
    <w:p w:rsidR="0082267D" w:rsidRDefault="0082267D" w:rsidP="00645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92A" w:rsidRDefault="0073592A" w:rsidP="00645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tematikai egységek bemenetként jelentős informatika alkalmazói ismeretekre építenek. A témakörök többsége az megismerés kognitív szintjeit tekintve a megismerés, a megértés, az alkalmazás mellett az elemzésben, a szintézisben és az értékelésben tejesedik ki, hangsúlyosan eltolódva a magasabb szintű megismerési szintek irányába.</w:t>
      </w:r>
    </w:p>
    <w:p w:rsidR="0073592A" w:rsidRDefault="0073592A" w:rsidP="00645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tematikai egységek kapcsolódási pontjai olyan műveltségterületeket és ezen belül olyan témaköröket jelölnek meg, amelyek a szakiskolai képzésben nem relevánsak.</w:t>
      </w:r>
    </w:p>
    <w:p w:rsidR="0073592A" w:rsidRPr="00092D12" w:rsidRDefault="0073592A" w:rsidP="0064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2D12">
        <w:rPr>
          <w:rFonts w:ascii="Times New Roman" w:hAnsi="Times New Roman"/>
          <w:color w:val="000000"/>
          <w:sz w:val="24"/>
          <w:szCs w:val="24"/>
        </w:rPr>
        <w:t>pl.</w:t>
      </w:r>
      <w:proofErr w:type="gramEnd"/>
      <w:r w:rsidR="00645367">
        <w:rPr>
          <w:rFonts w:ascii="Times New Roman" w:hAnsi="Times New Roman"/>
          <w:color w:val="000000"/>
          <w:sz w:val="24"/>
          <w:szCs w:val="24"/>
        </w:rPr>
        <w:t>:</w:t>
      </w:r>
      <w:r w:rsidRPr="00092D12">
        <w:rPr>
          <w:rFonts w:ascii="Times New Roman" w:hAnsi="Times New Roman"/>
          <w:color w:val="000000"/>
          <w:sz w:val="24"/>
          <w:szCs w:val="24"/>
        </w:rPr>
        <w:t xml:space="preserve"> Fizika; kémia: elektromágnesesség, optika, félvezetők, folyadékkristályok, színek, festékek, analóg és digitális jelek. </w:t>
      </w:r>
    </w:p>
    <w:p w:rsidR="0073592A" w:rsidRPr="00092D12" w:rsidRDefault="0073592A" w:rsidP="0064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D12">
        <w:rPr>
          <w:rFonts w:ascii="Times New Roman" w:hAnsi="Times New Roman"/>
          <w:color w:val="000000"/>
          <w:sz w:val="24"/>
          <w:szCs w:val="24"/>
        </w:rPr>
        <w:t>Matematika: kamatos kamat számítása, befektetésekkel, hitelekkel kapcsolatos számítások.</w:t>
      </w:r>
    </w:p>
    <w:p w:rsidR="0073592A" w:rsidRPr="00092D12" w:rsidRDefault="0073592A" w:rsidP="0064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D12">
        <w:rPr>
          <w:rFonts w:ascii="Times New Roman" w:hAnsi="Times New Roman"/>
          <w:color w:val="000000"/>
          <w:sz w:val="24"/>
          <w:szCs w:val="24"/>
        </w:rPr>
        <w:t>Biológia-egészségtan; kémia; fizika: a természeti és technikai rendszerek állapotának leírására szolgáló szempontok és módszerek használata.</w:t>
      </w:r>
    </w:p>
    <w:p w:rsidR="0073592A" w:rsidRPr="0082267D" w:rsidRDefault="0073592A" w:rsidP="00645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92A" w:rsidRDefault="0073592A" w:rsidP="006453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tematikai egységek tervezett tananyaga jól felépített és változatos, azonban ismeretanyaga </w:t>
      </w:r>
      <w:r w:rsidR="00B66B8D">
        <w:rPr>
          <w:rFonts w:ascii="Times New Roman" w:hAnsi="Times New Roman"/>
          <w:color w:val="000000"/>
          <w:sz w:val="24"/>
          <w:szCs w:val="24"/>
        </w:rPr>
        <w:t xml:space="preserve">túlzottan </w:t>
      </w:r>
      <w:r>
        <w:rPr>
          <w:rFonts w:ascii="Times New Roman" w:hAnsi="Times New Roman"/>
          <w:color w:val="000000"/>
          <w:sz w:val="24"/>
          <w:szCs w:val="24"/>
        </w:rPr>
        <w:t>szertágazó és az informatika adott témakörben több kapcsolódó tantárgyban betöltött szerepére részletesen kitér. Az informatikai ismertek ilyen komplex módon történő bevezetése a szakiskolai képzésben magas</w:t>
      </w:r>
      <w:r w:rsidR="00B66B8D">
        <w:rPr>
          <w:rFonts w:ascii="Times New Roman" w:hAnsi="Times New Roman"/>
          <w:color w:val="000000"/>
          <w:sz w:val="24"/>
          <w:szCs w:val="24"/>
        </w:rPr>
        <w:t>abb</w:t>
      </w:r>
      <w:r>
        <w:rPr>
          <w:rFonts w:ascii="Times New Roman" w:hAnsi="Times New Roman"/>
          <w:color w:val="000000"/>
          <w:sz w:val="24"/>
          <w:szCs w:val="24"/>
        </w:rPr>
        <w:t xml:space="preserve"> óraszámot </w:t>
      </w:r>
      <w:r w:rsidR="00B66B8D">
        <w:rPr>
          <w:rFonts w:ascii="Times New Roman" w:hAnsi="Times New Roman"/>
          <w:color w:val="000000"/>
          <w:sz w:val="24"/>
          <w:szCs w:val="24"/>
        </w:rPr>
        <w:t>igényelne.</w:t>
      </w:r>
    </w:p>
    <w:p w:rsidR="0073592A" w:rsidRDefault="0073592A" w:rsidP="0064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pl.</w:t>
      </w:r>
      <w:proofErr w:type="gramEnd"/>
      <w:r w:rsidR="00645367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D12">
        <w:rPr>
          <w:rFonts w:ascii="Times New Roman" w:hAnsi="Times New Roman"/>
          <w:color w:val="000000"/>
          <w:sz w:val="24"/>
          <w:szCs w:val="24"/>
        </w:rPr>
        <w:t>A 2. tematikai egység (</w:t>
      </w:r>
      <w:r w:rsidRPr="00092D12">
        <w:rPr>
          <w:rFonts w:ascii="Times New Roman" w:hAnsi="Times New Roman"/>
          <w:i/>
          <w:color w:val="000000"/>
          <w:sz w:val="24"/>
          <w:szCs w:val="24"/>
        </w:rPr>
        <w:t>Alkalmazói ismeretek</w:t>
      </w:r>
      <w:r w:rsidR="00092D1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3592A">
        <w:rPr>
          <w:rFonts w:ascii="Times New Roman" w:hAnsi="Times New Roman"/>
          <w:color w:val="000000"/>
          <w:sz w:val="24"/>
          <w:szCs w:val="24"/>
        </w:rPr>
        <w:t xml:space="preserve"> időkerete 14 óra.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D12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őbb elemei: operációs rendszer; szövegszerkesztő ismeretek; hosszúdokumentumok formázása (stílusok, tartalomjegyzék); körlevél; m</w:t>
      </w:r>
      <w:r w:rsidRPr="0073592A">
        <w:rPr>
          <w:rFonts w:ascii="Times New Roman" w:hAnsi="Times New Roman"/>
          <w:color w:val="000000"/>
          <w:sz w:val="24"/>
          <w:szCs w:val="24"/>
        </w:rPr>
        <w:t>ulti</w:t>
      </w:r>
      <w:r>
        <w:rPr>
          <w:rFonts w:ascii="Times New Roman" w:hAnsi="Times New Roman"/>
          <w:color w:val="000000"/>
          <w:sz w:val="24"/>
          <w:szCs w:val="24"/>
        </w:rPr>
        <w:t>médiás dokumentumok készítése; i</w:t>
      </w:r>
      <w:r w:rsidRPr="0073592A">
        <w:rPr>
          <w:rFonts w:ascii="Times New Roman" w:hAnsi="Times New Roman"/>
          <w:color w:val="000000"/>
          <w:sz w:val="24"/>
          <w:szCs w:val="24"/>
        </w:rPr>
        <w:t>nteraktív anyagok</w:t>
      </w:r>
      <w:r>
        <w:rPr>
          <w:rFonts w:ascii="Times New Roman" w:hAnsi="Times New Roman"/>
          <w:color w:val="000000"/>
          <w:sz w:val="24"/>
          <w:szCs w:val="24"/>
        </w:rPr>
        <w:t xml:space="preserve"> készítése</w:t>
      </w:r>
      <w:r w:rsidRPr="0073592A">
        <w:rPr>
          <w:rFonts w:ascii="Times New Roman" w:hAnsi="Times New Roman"/>
          <w:color w:val="000000"/>
          <w:sz w:val="24"/>
          <w:szCs w:val="24"/>
        </w:rPr>
        <w:t>, bemutatók készítése</w:t>
      </w:r>
      <w:r w:rsidR="00645367">
        <w:rPr>
          <w:rFonts w:ascii="Times New Roman" w:hAnsi="Times New Roman"/>
          <w:color w:val="000000"/>
          <w:sz w:val="24"/>
          <w:szCs w:val="24"/>
        </w:rPr>
        <w:t>.</w:t>
      </w:r>
      <w:r w:rsidR="00092D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592A">
        <w:rPr>
          <w:rFonts w:ascii="Times New Roman" w:hAnsi="Times New Roman"/>
          <w:color w:val="000000"/>
          <w:sz w:val="24"/>
          <w:szCs w:val="24"/>
        </w:rPr>
        <w:t>A feladat megoldásához szükséges alkalmazói eszközök kiválasztása és komplex használata.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D12">
        <w:rPr>
          <w:rFonts w:ascii="Times New Roman" w:hAnsi="Times New Roman"/>
          <w:color w:val="000000"/>
          <w:sz w:val="24"/>
          <w:szCs w:val="24"/>
        </w:rPr>
        <w:t xml:space="preserve">Utómunka </w:t>
      </w:r>
      <w:proofErr w:type="spellStart"/>
      <w:r w:rsidR="00092D12">
        <w:rPr>
          <w:rFonts w:ascii="Times New Roman" w:hAnsi="Times New Roman"/>
          <w:color w:val="000000"/>
          <w:sz w:val="24"/>
          <w:szCs w:val="24"/>
        </w:rPr>
        <w:t>videoszerkesztő</w:t>
      </w:r>
      <w:proofErr w:type="spellEnd"/>
      <w:r w:rsidR="00092D12">
        <w:rPr>
          <w:rFonts w:ascii="Times New Roman" w:hAnsi="Times New Roman"/>
          <w:color w:val="000000"/>
          <w:sz w:val="24"/>
          <w:szCs w:val="24"/>
        </w:rPr>
        <w:t xml:space="preserve"> programmal, weblapkészítés alapjai.</w:t>
      </w:r>
    </w:p>
    <w:p w:rsidR="00A4186A" w:rsidRDefault="0073592A" w:rsidP="006453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szakiskolában tanító tanáraink véleménye alapján ilyen mennyiségű és komplexitású tananyaghoz nem elegendő</w:t>
      </w:r>
      <w:r w:rsidR="00092D12">
        <w:rPr>
          <w:rFonts w:ascii="Times New Roman" w:hAnsi="Times New Roman"/>
          <w:color w:val="000000"/>
          <w:sz w:val="24"/>
          <w:szCs w:val="24"/>
        </w:rPr>
        <w:t xml:space="preserve"> a hozzáre</w:t>
      </w:r>
      <w:r>
        <w:rPr>
          <w:rFonts w:ascii="Times New Roman" w:hAnsi="Times New Roman"/>
          <w:color w:val="000000"/>
          <w:sz w:val="24"/>
          <w:szCs w:val="24"/>
        </w:rPr>
        <w:t>ndelt időkeret</w:t>
      </w:r>
      <w:r w:rsidR="00092D12">
        <w:rPr>
          <w:rFonts w:ascii="Times New Roman" w:hAnsi="Times New Roman"/>
          <w:color w:val="000000"/>
          <w:sz w:val="24"/>
          <w:szCs w:val="24"/>
        </w:rPr>
        <w:t>.</w:t>
      </w:r>
    </w:p>
    <w:p w:rsidR="00092D12" w:rsidRDefault="00092D12" w:rsidP="006453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6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közismereti képzés heti óraszámai</w:t>
      </w:r>
      <w:r w:rsidRPr="00B7161B">
        <w:rPr>
          <w:rFonts w:ascii="Times New Roman" w:hAnsi="Times New Roman"/>
          <w:color w:val="000000"/>
          <w:sz w:val="24"/>
          <w:szCs w:val="24"/>
        </w:rPr>
        <w:t xml:space="preserve"> táblázat</w:t>
      </w:r>
      <w:r>
        <w:rPr>
          <w:rFonts w:ascii="Times New Roman" w:hAnsi="Times New Roman"/>
          <w:color w:val="000000"/>
          <w:sz w:val="24"/>
          <w:szCs w:val="24"/>
        </w:rPr>
        <w:t xml:space="preserve"> bemutatja a közismereti órák eloszlását a 9-11. évfolyamokon. </w:t>
      </w:r>
      <w:r w:rsidRPr="00B7161B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táblázat alapján a </w:t>
      </w:r>
      <w:r w:rsidRPr="00B7161B">
        <w:rPr>
          <w:rFonts w:ascii="Times New Roman" w:hAnsi="Times New Roman"/>
          <w:color w:val="000000"/>
          <w:sz w:val="24"/>
          <w:szCs w:val="24"/>
        </w:rPr>
        <w:t>„</w:t>
      </w:r>
      <w:r w:rsidRPr="00645367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6453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zabad órakeret felhasználásáról az iskola dönt, így például az informatika oktatását is beemelheti a helyi tantervébe (ehhez a kerettanterv külön informatika tantárgyi kerettantervet is ajánl.</w:t>
      </w:r>
      <w:r w:rsidRPr="00B7161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7161B">
        <w:rPr>
          <w:rFonts w:ascii="Times New Roman" w:hAnsi="Times New Roman"/>
          <w:color w:val="000000"/>
          <w:sz w:val="24"/>
          <w:szCs w:val="24"/>
        </w:rPr>
        <w:t>”</w:t>
      </w:r>
    </w:p>
    <w:p w:rsidR="00B66B8D" w:rsidRDefault="00B66B8D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Úgy gondoljuk, hogy informatika oktatása az informatika alkalmazói ismeretek készségszintű megszerzése mellett, a tanulásmódszertan, módszeres információ feldolgozás, ugyanakkor kreativitás- és önkifejezés eszközeként jelenik meg. </w:t>
      </w:r>
      <w:r w:rsidRPr="00645367">
        <w:rPr>
          <w:rFonts w:ascii="Times New Roman" w:hAnsi="Times New Roman"/>
          <w:sz w:val="24"/>
          <w:szCs w:val="24"/>
          <w:u w:val="single"/>
        </w:rPr>
        <w:t>Ezért javasoljuk, hogy az iskolák mindhárom szakiskolai évfolyamon 1,5-2 órát vezessenek be a szabadsáv terhére</w:t>
      </w:r>
      <w:r>
        <w:rPr>
          <w:rFonts w:ascii="Times New Roman" w:hAnsi="Times New Roman"/>
          <w:sz w:val="24"/>
          <w:szCs w:val="24"/>
        </w:rPr>
        <w:t>.</w:t>
      </w:r>
    </w:p>
    <w:p w:rsidR="00645367" w:rsidRPr="00B66B8D" w:rsidRDefault="00645367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8D" w:rsidRDefault="00645367" w:rsidP="0064536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**********</w:t>
      </w:r>
      <w:bookmarkStart w:id="0" w:name="_GoBack"/>
      <w:bookmarkEnd w:id="0"/>
    </w:p>
    <w:p w:rsidR="00B7161B" w:rsidRDefault="00B7161B" w:rsidP="0064536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61B">
        <w:rPr>
          <w:rFonts w:ascii="Times New Roman" w:hAnsi="Times New Roman"/>
          <w:b/>
          <w:color w:val="000000"/>
          <w:sz w:val="24"/>
          <w:szCs w:val="24"/>
        </w:rPr>
        <w:t>Szakiskolások középiskolája kerettantervek véleményezése</w:t>
      </w: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A4660">
        <w:rPr>
          <w:rFonts w:ascii="Times New Roman" w:eastAsia="Calibri" w:hAnsi="Times New Roman" w:cs="Times New Roman"/>
          <w:sz w:val="24"/>
          <w:szCs w:val="24"/>
        </w:rPr>
        <w:t>A szakiskolások középiskolája a 3 éves szakiskolát (vagy korábban szakmunkásképző intézetet) végzett tanulók számára biztosítja az érettségi vizsgára történő felkészítést.</w:t>
      </w: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60">
        <w:rPr>
          <w:rFonts w:ascii="Times New Roman" w:eastAsia="Calibri" w:hAnsi="Times New Roman" w:cs="Times New Roman"/>
          <w:sz w:val="24"/>
          <w:szCs w:val="24"/>
        </w:rPr>
        <w:t xml:space="preserve"> A szakiskolák középiskolája 2 évfolyamból áll (I., illetve 12</w:t>
      </w:r>
      <w:proofErr w:type="gramStart"/>
      <w:r w:rsidRPr="000A4660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0A4660">
        <w:rPr>
          <w:rFonts w:ascii="Times New Roman" w:eastAsia="Calibri" w:hAnsi="Times New Roman" w:cs="Times New Roman"/>
          <w:sz w:val="24"/>
          <w:szCs w:val="24"/>
        </w:rPr>
        <w:t xml:space="preserve"> II., illetve 13.), amelynek programja a 3 éves szakiskolai közismereti programra épül.  Az iskolatípus célja az, hogy olyan ismereteket nyújtson, illetve</w:t>
      </w:r>
      <w:r w:rsidRPr="006361EF">
        <w:rPr>
          <w:rFonts w:ascii="Times New Roman" w:eastAsia="Calibri" w:hAnsi="Times New Roman" w:cs="Times New Roman"/>
          <w:sz w:val="24"/>
          <w:szCs w:val="24"/>
        </w:rPr>
        <w:t xml:space="preserve"> olyan készségeket, képességeket fejlesszen, amelyek átfogják az általános műveltség középiskolai körét.</w:t>
      </w:r>
      <w:r>
        <w:rPr>
          <w:rFonts w:ascii="Times New Roman" w:hAnsi="Times New Roman"/>
          <w:sz w:val="24"/>
          <w:szCs w:val="24"/>
        </w:rPr>
        <w:t>”</w:t>
      </w: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szakiskolások középiskolája tantárgyainak és óraszámainak eloszlását bemutató táblázat tükrözi a nappali-, az esti- és a levelező munkarendben tanulók óraszámait, évfolyam szerinti bontásban.</w:t>
      </w: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Egyetértünk azzal, hogy az informatika tantárgy</w:t>
      </w:r>
      <w:r w:rsidR="00D21A22">
        <w:rPr>
          <w:rFonts w:ascii="Times New Roman" w:hAnsi="Times New Roman"/>
          <w:sz w:val="24"/>
          <w:szCs w:val="24"/>
        </w:rPr>
        <w:t xml:space="preserve"> oktatása mindkét évfolyamon (12. és 13</w:t>
      </w:r>
      <w:r>
        <w:rPr>
          <w:rFonts w:ascii="Times New Roman" w:hAnsi="Times New Roman"/>
          <w:sz w:val="24"/>
          <w:szCs w:val="24"/>
        </w:rPr>
        <w:t>. évf.) a nappali tagozaton heti 2 órában; az esti tagozaton heti 1 órában, illetve a levelező tagozaton heti 0,5 órában jelenik meg.</w:t>
      </w:r>
    </w:p>
    <w:p w:rsidR="00843AAC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6A" w:rsidRDefault="00A4186A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Úgy gondoljuk, hogy a</w:t>
      </w:r>
      <w:r w:rsidRPr="00A4186A">
        <w:rPr>
          <w:rFonts w:ascii="Times New Roman" w:hAnsi="Times New Roman"/>
          <w:sz w:val="24"/>
          <w:szCs w:val="24"/>
        </w:rPr>
        <w:t xml:space="preserve"> témaköröket tartalmazó táblázatokban a két tanéves </w:t>
      </w:r>
      <w:r>
        <w:rPr>
          <w:rFonts w:ascii="Times New Roman" w:hAnsi="Times New Roman"/>
          <w:sz w:val="24"/>
          <w:szCs w:val="24"/>
        </w:rPr>
        <w:t>ciklus teljes óraszámára a tervezett tananyag mennyiségében és mélységében is tú</w:t>
      </w:r>
      <w:r w:rsidR="003F67CC">
        <w:rPr>
          <w:rFonts w:ascii="Times New Roman" w:hAnsi="Times New Roman"/>
          <w:sz w:val="24"/>
          <w:szCs w:val="24"/>
        </w:rPr>
        <w:t>l</w:t>
      </w:r>
      <w:r w:rsidR="00843AAC">
        <w:rPr>
          <w:rFonts w:ascii="Times New Roman" w:hAnsi="Times New Roman"/>
          <w:sz w:val="24"/>
          <w:szCs w:val="24"/>
        </w:rPr>
        <w:t xml:space="preserve">zottan széleskörű, mert a célok és feladatok részben megfogalmazottak szerint is, ebben a képzésben fokozottan figyelembe kell venni a hiányok pótlását, a gondolkodásfejlesztést, a problémamegoldó és a kreatív működés elősegítését. </w:t>
      </w:r>
    </w:p>
    <w:p w:rsidR="00935C6D" w:rsidRDefault="00935C6D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AAC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Ugyanakkor úgy gondoljuk, hogy a szakiskolai- és szakmunkások középiskolája kerettantervek együttes alkalmazásával hatékonyan lefedhető a szakiskolai tanulók érettségiig tartó (3 év szakiskola + 2 év szakiskolások középiskolája) informatika képzése. </w:t>
      </w:r>
    </w:p>
    <w:p w:rsidR="00B7161B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egy iskola szabadsávból szakiskolai osztályainak évfolyamonként (9-11. évf.) 1,5-2 tanórát tud biztosítani az informatika oktatására, majd erre a tudásra alapozva, a szakmunkások középiskolája képzési szakaszban (13-14. évf.) a 2-2 tanóra segítségével, olyan tudást tud átadni, amellyel teljesíthetők a középszintű informatika érettségi követelményei.</w:t>
      </w:r>
    </w:p>
    <w:p w:rsidR="00843AAC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AAC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Véleményünk szerint, az informatika érettségi jelentősen segíti a szakiskolai tanulók, majd az érettségivel is rendelkező szakiskolai tanulók munkaerő piaci elhelyezkedését vagy továbbtanulását.</w:t>
      </w:r>
    </w:p>
    <w:p w:rsidR="00843AAC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67" w:rsidRDefault="00645367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67" w:rsidRDefault="00645367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2013.08.13.</w:t>
      </w:r>
    </w:p>
    <w:p w:rsidR="00645367" w:rsidRDefault="00645367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67" w:rsidRDefault="00645367" w:rsidP="0064536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Fülöp Márta Marianna</w:t>
      </w:r>
    </w:p>
    <w:p w:rsidR="00645367" w:rsidRDefault="00645367" w:rsidP="0064536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ISZE elnök</w:t>
      </w:r>
    </w:p>
    <w:p w:rsidR="00645367" w:rsidRDefault="00645367" w:rsidP="00645367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843AAC" w:rsidRPr="00843AAC" w:rsidRDefault="00843AAC" w:rsidP="0064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3AAC" w:rsidRPr="00843AAC" w:rsidSect="000773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2C" w:rsidRDefault="0041182C" w:rsidP="00B7161B">
      <w:pPr>
        <w:spacing w:after="0" w:line="240" w:lineRule="auto"/>
      </w:pPr>
      <w:r>
        <w:separator/>
      </w:r>
    </w:p>
  </w:endnote>
  <w:endnote w:type="continuationSeparator" w:id="0">
    <w:p w:rsidR="0041182C" w:rsidRDefault="0041182C" w:rsidP="00B7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47359"/>
      <w:docPartObj>
        <w:docPartGallery w:val="Page Numbers (Bottom of Page)"/>
        <w:docPartUnique/>
      </w:docPartObj>
    </w:sdtPr>
    <w:sdtContent>
      <w:p w:rsidR="00645367" w:rsidRDefault="006453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5367" w:rsidRDefault="006453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2C" w:rsidRDefault="0041182C" w:rsidP="00B7161B">
      <w:pPr>
        <w:spacing w:after="0" w:line="240" w:lineRule="auto"/>
      </w:pPr>
      <w:r>
        <w:separator/>
      </w:r>
    </w:p>
  </w:footnote>
  <w:footnote w:type="continuationSeparator" w:id="0">
    <w:p w:rsidR="0041182C" w:rsidRDefault="0041182C" w:rsidP="00B7161B">
      <w:pPr>
        <w:spacing w:after="0" w:line="240" w:lineRule="auto"/>
      </w:pPr>
      <w:r>
        <w:continuationSeparator/>
      </w:r>
    </w:p>
  </w:footnote>
  <w:footnote w:id="1">
    <w:p w:rsidR="00B7161B" w:rsidRPr="00645367" w:rsidRDefault="00B7161B" w:rsidP="00B7161B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645367">
        <w:rPr>
          <w:rFonts w:ascii="Times New Roman" w:eastAsia="Calibri" w:hAnsi="Times New Roman" w:cs="Times New Roman"/>
          <w:i/>
          <w:color w:val="000000"/>
        </w:rPr>
        <w:t xml:space="preserve">A tanuló képes a számítógép nyújtotta lehetőségek önálló alkalmazására a tanulásban és a mindennapi életben, nyitott és motivált az IKT nyújtotta lehetőségek kihasználásában. Gyakorlottan kapcsolódik be az </w:t>
      </w:r>
      <w:proofErr w:type="spellStart"/>
      <w:r w:rsidRPr="00645367">
        <w:rPr>
          <w:rFonts w:ascii="Times New Roman" w:eastAsia="Calibri" w:hAnsi="Times New Roman" w:cs="Times New Roman"/>
          <w:i/>
          <w:color w:val="000000"/>
        </w:rPr>
        <w:t>információmegosztásba</w:t>
      </w:r>
      <w:proofErr w:type="spellEnd"/>
      <w:r w:rsidRPr="00645367">
        <w:rPr>
          <w:rFonts w:ascii="Times New Roman" w:eastAsia="Calibri" w:hAnsi="Times New Roman" w:cs="Times New Roman"/>
          <w:i/>
          <w:color w:val="000000"/>
        </w:rPr>
        <w:t xml:space="preserve">, képes részt venni az érdeklődési körének, választott szakterületének megfelelő együttműködő hálózatokban. Felismeri és ki is használja az IKT nyújtotta lehetőségeket a feladatok, problémák megoldásában saját szakterületéhez kapcsolódóan. A tanulóban kialakul az IKT alkalmazásához kapcsolódó helyes magatartás, elfogadja a kommunikáció és az </w:t>
      </w:r>
      <w:proofErr w:type="spellStart"/>
      <w:r w:rsidRPr="00645367">
        <w:rPr>
          <w:rFonts w:ascii="Times New Roman" w:eastAsia="Calibri" w:hAnsi="Times New Roman" w:cs="Times New Roman"/>
          <w:i/>
          <w:color w:val="000000"/>
        </w:rPr>
        <w:t>információfelhasználás</w:t>
      </w:r>
      <w:proofErr w:type="spellEnd"/>
      <w:r w:rsidRPr="00645367">
        <w:rPr>
          <w:rFonts w:ascii="Times New Roman" w:eastAsia="Calibri" w:hAnsi="Times New Roman" w:cs="Times New Roman"/>
          <w:i/>
          <w:color w:val="000000"/>
        </w:rPr>
        <w:t xml:space="preserve"> etikai elveit. Felismeri az IKT interaktív használatához kapcsolódó veszélyeket, tudatos</w:t>
      </w:r>
      <w:r w:rsidRPr="00645367">
        <w:rPr>
          <w:rFonts w:ascii="Times New Roman" w:hAnsi="Times New Roman"/>
          <w:i/>
          <w:color w:val="000000"/>
        </w:rPr>
        <w:t>an törekszik ezek mérséklésére.”</w:t>
      </w:r>
    </w:p>
    <w:p w:rsidR="00B7161B" w:rsidRDefault="00B7161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9CA"/>
    <w:multiLevelType w:val="multilevel"/>
    <w:tmpl w:val="203E7198"/>
    <w:styleLink w:val="Stl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58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1779EB"/>
    <w:multiLevelType w:val="hybridMultilevel"/>
    <w:tmpl w:val="49FCBA08"/>
    <w:lvl w:ilvl="0" w:tplc="0720C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62239"/>
    <w:multiLevelType w:val="multilevel"/>
    <w:tmpl w:val="203E7198"/>
    <w:numStyleLink w:val="Stlus1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773A5"/>
    <w:rsid w:val="00092D12"/>
    <w:rsid w:val="001D4B80"/>
    <w:rsid w:val="0028543C"/>
    <w:rsid w:val="003F67CC"/>
    <w:rsid w:val="0041182C"/>
    <w:rsid w:val="00564169"/>
    <w:rsid w:val="00645367"/>
    <w:rsid w:val="00697C4D"/>
    <w:rsid w:val="0073592A"/>
    <w:rsid w:val="0079111D"/>
    <w:rsid w:val="0082267D"/>
    <w:rsid w:val="00843AAC"/>
    <w:rsid w:val="00877140"/>
    <w:rsid w:val="00935C6D"/>
    <w:rsid w:val="009A1C90"/>
    <w:rsid w:val="00A4186A"/>
    <w:rsid w:val="00B66B8D"/>
    <w:rsid w:val="00B7161B"/>
    <w:rsid w:val="00BC0598"/>
    <w:rsid w:val="00D21A22"/>
    <w:rsid w:val="00E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6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6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161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267D"/>
    <w:pPr>
      <w:ind w:left="720"/>
      <w:contextualSpacing/>
    </w:pPr>
  </w:style>
  <w:style w:type="numbering" w:customStyle="1" w:styleId="Stlus1">
    <w:name w:val="Stílus1"/>
    <w:uiPriority w:val="99"/>
    <w:rsid w:val="0082267D"/>
    <w:pPr>
      <w:numPr>
        <w:numId w:val="2"/>
      </w:numPr>
    </w:pPr>
  </w:style>
  <w:style w:type="paragraph" w:styleId="lfej">
    <w:name w:val="header"/>
    <w:basedOn w:val="Norml"/>
    <w:link w:val="lfejChar"/>
    <w:uiPriority w:val="99"/>
    <w:unhideWhenUsed/>
    <w:rsid w:val="0064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367"/>
  </w:style>
  <w:style w:type="paragraph" w:styleId="llb">
    <w:name w:val="footer"/>
    <w:basedOn w:val="Norml"/>
    <w:link w:val="llbChar"/>
    <w:uiPriority w:val="99"/>
    <w:unhideWhenUsed/>
    <w:rsid w:val="0064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367"/>
  </w:style>
  <w:style w:type="paragraph" w:styleId="Buborkszveg">
    <w:name w:val="Balloon Text"/>
    <w:basedOn w:val="Norml"/>
    <w:link w:val="BuborkszvegChar"/>
    <w:uiPriority w:val="99"/>
    <w:semiHidden/>
    <w:unhideWhenUsed/>
    <w:rsid w:val="006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6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6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161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267D"/>
    <w:pPr>
      <w:ind w:left="720"/>
      <w:contextualSpacing/>
    </w:pPr>
  </w:style>
  <w:style w:type="numbering" w:customStyle="1" w:styleId="Stlus1">
    <w:name w:val="Stílus1"/>
    <w:uiPriority w:val="99"/>
    <w:rsid w:val="0082267D"/>
    <w:pPr>
      <w:numPr>
        <w:numId w:val="2"/>
      </w:numPr>
    </w:pPr>
  </w:style>
  <w:style w:type="paragraph" w:styleId="lfej">
    <w:name w:val="header"/>
    <w:basedOn w:val="Norml"/>
    <w:link w:val="lfejChar"/>
    <w:uiPriority w:val="99"/>
    <w:unhideWhenUsed/>
    <w:rsid w:val="0064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367"/>
  </w:style>
  <w:style w:type="paragraph" w:styleId="llb">
    <w:name w:val="footer"/>
    <w:basedOn w:val="Norml"/>
    <w:link w:val="llbChar"/>
    <w:uiPriority w:val="99"/>
    <w:unhideWhenUsed/>
    <w:rsid w:val="0064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367"/>
  </w:style>
  <w:style w:type="paragraph" w:styleId="Buborkszveg">
    <w:name w:val="Balloon Text"/>
    <w:basedOn w:val="Norml"/>
    <w:link w:val="BuborkszvegChar"/>
    <w:uiPriority w:val="99"/>
    <w:semiHidden/>
    <w:unhideWhenUsed/>
    <w:rsid w:val="006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ze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ze@isz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ECE6-8C46-44D6-9924-486954C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2013-08-13T22:01:00Z</dcterms:created>
  <dcterms:modified xsi:type="dcterms:W3CDTF">2013-08-13T22:01:00Z</dcterms:modified>
</cp:coreProperties>
</file>